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11" w:rsidRDefault="00660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60711" w:rsidRDefault="00660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0"/>
        <w:tblW w:w="15296" w:type="dxa"/>
        <w:tblInd w:w="392" w:type="dxa"/>
        <w:tblLayout w:type="fixed"/>
        <w:tblLook w:val="0400"/>
      </w:tblPr>
      <w:tblGrid>
        <w:gridCol w:w="7094"/>
        <w:gridCol w:w="8202"/>
      </w:tblGrid>
      <w:tr w:rsidR="002F32B6" w:rsidTr="002F32B6">
        <w:tc>
          <w:tcPr>
            <w:tcW w:w="7094" w:type="dxa"/>
            <w:shd w:val="clear" w:color="auto" w:fill="auto"/>
          </w:tcPr>
          <w:p w:rsidR="002F32B6" w:rsidRDefault="002F3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122554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2" w:type="dxa"/>
          </w:tcPr>
          <w:p w:rsidR="002F32B6" w:rsidRDefault="002F32B6" w:rsidP="005D3A22">
            <w:pPr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1.12.</w:t>
            </w:r>
          </w:p>
          <w:p w:rsidR="002F32B6" w:rsidRDefault="002F32B6" w:rsidP="005D3A22">
            <w:pPr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11.01.2021г     № 17</w:t>
            </w:r>
          </w:p>
          <w:p w:rsidR="002F32B6" w:rsidRDefault="002F32B6" w:rsidP="005D3A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0711" w:rsidRDefault="00660711">
      <w:pPr>
        <w:spacing w:after="0" w:line="240" w:lineRule="auto"/>
        <w:ind w:left="8789"/>
        <w:rPr>
          <w:rFonts w:ascii="Times New Roman" w:eastAsia="Times New Roman" w:hAnsi="Times New Roman"/>
          <w:sz w:val="28"/>
          <w:szCs w:val="28"/>
        </w:rPr>
      </w:pPr>
    </w:p>
    <w:p w:rsidR="00660711" w:rsidRDefault="006607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60711" w:rsidRDefault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660711" w:rsidRDefault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УЧЕБНОГО ПРЕДМЕТА «МАТЕМАТИКА: АЛГЕБРА И НАЧАЛА МАТЕМАТИЧЕСКОГО АНАЛИЗА, ГЕОМЕТРИЯ» (УГЛУБЛЕННЫЙ УРОВЕНЬ)</w:t>
      </w:r>
    </w:p>
    <w:p w:rsidR="00660711" w:rsidRDefault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10-11 КЛАСС</w:t>
      </w:r>
    </w:p>
    <w:p w:rsidR="00660711" w:rsidRDefault="00660711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60711" w:rsidRDefault="00660711">
      <w:pPr>
        <w:spacing w:after="0" w:line="240" w:lineRule="auto"/>
      </w:pPr>
    </w:p>
    <w:p w:rsidR="00660711" w:rsidRDefault="00660711">
      <w:pPr>
        <w:spacing w:after="0" w:line="240" w:lineRule="auto"/>
      </w:pPr>
    </w:p>
    <w:p w:rsidR="00660711" w:rsidRDefault="00660711">
      <w:pPr>
        <w:spacing w:after="0" w:line="240" w:lineRule="auto"/>
      </w:pPr>
    </w:p>
    <w:p w:rsidR="00660711" w:rsidRDefault="00660711">
      <w:pPr>
        <w:spacing w:after="0" w:line="240" w:lineRule="auto"/>
      </w:pPr>
    </w:p>
    <w:p w:rsidR="00660711" w:rsidRDefault="00660711">
      <w:pPr>
        <w:spacing w:after="0" w:line="240" w:lineRule="auto"/>
      </w:pPr>
    </w:p>
    <w:p w:rsidR="00660711" w:rsidRDefault="002F32B6">
      <w:r>
        <w:br w:type="page"/>
      </w:r>
    </w:p>
    <w:p w:rsidR="00660711" w:rsidRDefault="002F32B6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2F32B6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50BC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Личностные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результаты освоения ООП:</w:t>
      </w:r>
    </w:p>
    <w:p w:rsidR="002F32B6" w:rsidRPr="00550BC8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7115"/>
        <w:gridCol w:w="5387"/>
      </w:tblGrid>
      <w:tr w:rsidR="002F32B6" w:rsidRPr="00550BC8" w:rsidTr="005D3A22">
        <w:tc>
          <w:tcPr>
            <w:tcW w:w="2632" w:type="dxa"/>
            <w:vMerge w:val="restart"/>
          </w:tcPr>
          <w:p w:rsidR="002F32B6" w:rsidRPr="00550BC8" w:rsidRDefault="002F32B6" w:rsidP="005D3A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Требования к результатам освоения ООП СОО </w:t>
            </w:r>
          </w:p>
          <w:p w:rsidR="002F32B6" w:rsidRPr="00550BC8" w:rsidRDefault="002F32B6" w:rsidP="005D3A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02" w:type="dxa"/>
            <w:gridSpan w:val="2"/>
          </w:tcPr>
          <w:p w:rsidR="002F32B6" w:rsidRPr="00550BC8" w:rsidRDefault="002F32B6" w:rsidP="005D3A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</w:t>
            </w:r>
            <w:bookmarkStart w:id="0" w:name="_GoBack"/>
            <w:bookmarkEnd w:id="0"/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ОО</w:t>
            </w:r>
          </w:p>
          <w:p w:rsidR="002F32B6" w:rsidRPr="00550BC8" w:rsidRDefault="002F32B6" w:rsidP="005D3A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2F32B6" w:rsidRPr="00550BC8" w:rsidTr="005D3A22">
        <w:tc>
          <w:tcPr>
            <w:tcW w:w="2632" w:type="dxa"/>
            <w:vMerge/>
          </w:tcPr>
          <w:p w:rsidR="002F32B6" w:rsidRPr="00550BC8" w:rsidRDefault="002F32B6" w:rsidP="005D3A22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5" w:type="dxa"/>
          </w:tcPr>
          <w:p w:rsidR="002F32B6" w:rsidRPr="00550BC8" w:rsidRDefault="002F32B6" w:rsidP="005D3A22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  <w:t>У выпускника будут сформированы</w:t>
            </w:r>
          </w:p>
          <w:p w:rsidR="002F32B6" w:rsidRPr="00550BC8" w:rsidRDefault="002F32B6" w:rsidP="005D3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32B6" w:rsidRPr="00550BC8" w:rsidRDefault="002F32B6" w:rsidP="005D3A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2F32B6" w:rsidRPr="00550BC8" w:rsidTr="005D3A22">
        <w:tc>
          <w:tcPr>
            <w:tcW w:w="2632" w:type="dxa"/>
          </w:tcPr>
          <w:p w:rsidR="002F32B6" w:rsidRPr="00550BC8" w:rsidRDefault="002F32B6" w:rsidP="005D3A2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  <w:proofErr w:type="gramEnd"/>
          </w:p>
        </w:tc>
        <w:tc>
          <w:tcPr>
            <w:tcW w:w="7115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к служению Отечеству, его защите;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употребления алкоголя, наркотиков;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приобретения опыта эколого-направленной деятельности;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Общекультурной компетентности, 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отражающей личностные и гражданские позиции в деятельности, правосознание;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Правовой культуры, необходимой для становления гражданского общества;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Ценностно-смысловых основ служения Отечеству;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Системного мышления соответствующего уровню развития современной экономики и общества;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Компетентности к саморазвитию и самообновлению;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Адекватной позитивной самооценки и «</w:t>
            </w:r>
            <w:proofErr w:type="spellStart"/>
            <w:proofErr w:type="gramStart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»;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Устойчивой мотивации к реализации ценностей здорового и безопасного образа жизни;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Навыков сотрудничества в системе дистанционного образования;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Нравственного сознания на теоретическом и обыденном уровне;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Ценностных ориентаций, соответствующих современному уровню экологической культуры;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принятию и освоению семейных традиций, принятых в обществе;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Эстетического вкуса как основы ценностного отношения к культурному достоянию;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 выраженной устойчивой учебно-познавательной мотивации и интереса к учению;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самообразованию и самовоспитанию;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тапозиций участников дилеммы, ориентации на их мотивы и чувства; устойчивое следование в поведении 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моральным нормам и этическим требованиям;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благополучия.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0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сознания.</w:t>
            </w:r>
          </w:p>
        </w:tc>
      </w:tr>
    </w:tbl>
    <w:p w:rsidR="002F32B6" w:rsidRPr="00550BC8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32B6" w:rsidRDefault="002F32B6" w:rsidP="002F32B6">
      <w:pPr>
        <w:pStyle w:val="af5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0"/>
          <w:szCs w:val="20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Start w:id="6" w:name="_Toc465761958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Метапредметные</w:t>
      </w:r>
      <w:proofErr w:type="spellEnd"/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результаты</w:t>
      </w:r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освоения ООП</w:t>
      </w:r>
      <w:bookmarkEnd w:id="1"/>
      <w:bookmarkEnd w:id="2"/>
      <w:bookmarkEnd w:id="3"/>
      <w:bookmarkEnd w:id="4"/>
      <w:bookmarkEnd w:id="5"/>
      <w:bookmarkEnd w:id="6"/>
    </w:p>
    <w:p w:rsidR="002F32B6" w:rsidRPr="00546138" w:rsidRDefault="002F32B6" w:rsidP="002F32B6">
      <w:pPr>
        <w:rPr>
          <w:lang w:eastAsia="zh-CN"/>
        </w:rPr>
      </w:pPr>
    </w:p>
    <w:tbl>
      <w:tblPr>
        <w:tblStyle w:val="af4"/>
        <w:tblW w:w="15134" w:type="dxa"/>
        <w:tblLook w:val="0600"/>
      </w:tblPr>
      <w:tblGrid>
        <w:gridCol w:w="2577"/>
        <w:gridCol w:w="7170"/>
        <w:gridCol w:w="5387"/>
      </w:tblGrid>
      <w:tr w:rsidR="002F32B6" w:rsidRPr="00550BC8" w:rsidTr="005D3A22">
        <w:tc>
          <w:tcPr>
            <w:tcW w:w="2577" w:type="dxa"/>
          </w:tcPr>
          <w:p w:rsidR="002F32B6" w:rsidRPr="00550BC8" w:rsidRDefault="002F32B6" w:rsidP="005D3A2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Требования к результатам освоения ООП СОО</w:t>
            </w:r>
          </w:p>
          <w:p w:rsidR="002F32B6" w:rsidRPr="00550BC8" w:rsidRDefault="002F32B6" w:rsidP="005D3A2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57" w:type="dxa"/>
            <w:gridSpan w:val="2"/>
          </w:tcPr>
          <w:p w:rsidR="002F32B6" w:rsidRPr="00550BC8" w:rsidRDefault="002F32B6" w:rsidP="005D3A2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2F32B6" w:rsidRPr="00550BC8" w:rsidRDefault="002F32B6" w:rsidP="005D3A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2F32B6" w:rsidRPr="00550BC8" w:rsidTr="005D3A22">
        <w:tc>
          <w:tcPr>
            <w:tcW w:w="2577" w:type="dxa"/>
            <w:vMerge w:val="restart"/>
          </w:tcPr>
          <w:p w:rsidR="002F32B6" w:rsidRPr="00550BC8" w:rsidRDefault="002F32B6" w:rsidP="005D3A2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Освоение обучающимися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межпредметных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557" w:type="dxa"/>
            <w:gridSpan w:val="2"/>
          </w:tcPr>
          <w:p w:rsidR="002F32B6" w:rsidRPr="00550BC8" w:rsidRDefault="002F32B6" w:rsidP="005D3A2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2F32B6" w:rsidRPr="00550BC8" w:rsidTr="005D3A22">
        <w:tc>
          <w:tcPr>
            <w:tcW w:w="2577" w:type="dxa"/>
            <w:vMerge/>
          </w:tcPr>
          <w:p w:rsidR="002F32B6" w:rsidRPr="00550BC8" w:rsidRDefault="002F32B6" w:rsidP="005D3A2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2F32B6" w:rsidRPr="00550BC8" w:rsidRDefault="002F32B6" w:rsidP="005D3A22">
            <w:pPr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  <w:t>Выпускник научится</w:t>
            </w:r>
          </w:p>
          <w:p w:rsidR="002F32B6" w:rsidRPr="00550BC8" w:rsidRDefault="002F32B6" w:rsidP="005D3A22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32B6" w:rsidRPr="00550BC8" w:rsidRDefault="002F32B6" w:rsidP="005D3A2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Выпускник </w:t>
            </w: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2F32B6" w:rsidRPr="00550BC8" w:rsidTr="005D3A22">
        <w:tc>
          <w:tcPr>
            <w:tcW w:w="2577" w:type="dxa"/>
            <w:vMerge/>
          </w:tcPr>
          <w:p w:rsidR="002F32B6" w:rsidRPr="00550BC8" w:rsidRDefault="002F32B6" w:rsidP="005D3A2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387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 ставить новые учебные цели и задачи;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6" w:right="-249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Осуществлять познавательную рефлексию в отношении действий по решению учебных и познавательных задач;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6" w:right="-249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Адекватно оценивать свои возможности достижения цели определ</w:t>
            </w:r>
            <w:r w:rsidRPr="00550BC8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нной сложности в различных сферах самостоятельной деятельности;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Основам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эмоциональных состояний;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2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Построению жизненных планов во временной перспективе.</w:t>
            </w:r>
          </w:p>
        </w:tc>
      </w:tr>
      <w:tr w:rsidR="002F32B6" w:rsidRPr="00550BC8" w:rsidTr="005D3A22">
        <w:tc>
          <w:tcPr>
            <w:tcW w:w="2577" w:type="dxa"/>
            <w:vMerge/>
          </w:tcPr>
          <w:p w:rsidR="002F32B6" w:rsidRPr="00550BC8" w:rsidRDefault="002F32B6" w:rsidP="005D3A22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2F32B6" w:rsidRPr="00550BC8" w:rsidRDefault="002F32B6" w:rsidP="005D3A2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</w:t>
            </w:r>
            <w:r w:rsidRPr="0055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оммуникативные универсальные учебные действия</w:t>
            </w:r>
          </w:p>
        </w:tc>
      </w:tr>
      <w:tr w:rsidR="002F32B6" w:rsidRPr="00550BC8" w:rsidTr="005D3A22">
        <w:tc>
          <w:tcPr>
            <w:tcW w:w="2577" w:type="dxa"/>
            <w:vMerge/>
          </w:tcPr>
          <w:p w:rsidR="002F32B6" w:rsidRPr="00550BC8" w:rsidRDefault="002F32B6" w:rsidP="005D3A2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18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18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Самостоятельной информационно-познавательной 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18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18"/>
              </w:numPr>
              <w:ind w:left="287" w:hanging="28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18"/>
              </w:numPr>
              <w:spacing w:line="240" w:lineRule="auto"/>
              <w:ind w:left="287" w:hanging="283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50BC8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550BC8">
              <w:rPr>
                <w:color w:val="000000" w:themeColor="text1"/>
                <w:sz w:val="20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387" w:type="dxa"/>
          </w:tcPr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Учитыватьотличительные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особенности коммуникации в сотрудничестве других людей от собственной позиции;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Учитывать разные мнения и интересы и обосновывать собственную позицию;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Понимать относительность мнений и подходов к решению проблемы;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Продуктивно разрешать конфликты на основе уч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>та интересов и позиций всех участников, поиска и оценки альтернативных способов разрешения конфликтов;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 процессе коммуникации достаточно точно, последовательно и полно передавать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ру необходимую информацию как ориентир для построения действия;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Следовать морально-этическим и психологическим принципам общения и сотрудничества на основе уважительного отношения к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рам, внимания к личности другого, адекватного межличностного восприятия, готовности адекватно реагировать на 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>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19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19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19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2F32B6" w:rsidRPr="00550BC8" w:rsidRDefault="002F32B6" w:rsidP="002F32B6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Распознавать </w:t>
            </w: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конфликтогенные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2F32B6" w:rsidRPr="00550BC8" w:rsidTr="005D3A22">
        <w:tc>
          <w:tcPr>
            <w:tcW w:w="2577" w:type="dxa"/>
            <w:vMerge w:val="restart"/>
          </w:tcPr>
          <w:p w:rsidR="002F32B6" w:rsidRPr="00550BC8" w:rsidRDefault="002F32B6" w:rsidP="005D3A22">
            <w:pPr>
              <w:jc w:val="both"/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2F32B6" w:rsidRPr="00550BC8" w:rsidRDefault="002F32B6" w:rsidP="005D3A2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2F32B6" w:rsidRPr="00550BC8" w:rsidTr="005D3A22">
        <w:tc>
          <w:tcPr>
            <w:tcW w:w="2577" w:type="dxa"/>
            <w:vMerge/>
          </w:tcPr>
          <w:p w:rsidR="002F32B6" w:rsidRPr="00550BC8" w:rsidRDefault="002F32B6" w:rsidP="005D3A2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19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19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2F32B6" w:rsidRPr="00550BC8" w:rsidRDefault="002F32B6" w:rsidP="005D3A22">
            <w:pPr>
              <w:pStyle w:val="a8"/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19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23"/>
              </w:numPr>
              <w:spacing w:line="240" w:lineRule="auto"/>
              <w:ind w:left="287" w:hanging="142"/>
              <w:rPr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24"/>
              </w:numPr>
              <w:spacing w:line="240" w:lineRule="auto"/>
              <w:ind w:left="287" w:hanging="142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387" w:type="dxa"/>
          </w:tcPr>
          <w:p w:rsidR="002F32B6" w:rsidRPr="00550BC8" w:rsidRDefault="002F32B6" w:rsidP="002F32B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Ставить проблему, аргументировать е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актуальность;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Выдвигать гипотезы о связях и закономерностях событий, процессов, объектов;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Организовывать исследование с целью проверки гипотез; </w:t>
            </w:r>
          </w:p>
          <w:p w:rsidR="002F32B6" w:rsidRPr="00550BC8" w:rsidRDefault="002F32B6" w:rsidP="002F32B6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Делать умозаключения (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индуктивное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 по аналогии) и выводы на основе аргументации;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21"/>
              </w:numPr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2F32B6" w:rsidRPr="00550BC8" w:rsidRDefault="002F32B6" w:rsidP="002F32B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:rsidR="002F32B6" w:rsidRPr="00550BC8" w:rsidRDefault="002F32B6" w:rsidP="005D3A22">
            <w:pPr>
              <w:ind w:left="287" w:hanging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F32B6" w:rsidRPr="00550BC8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32B6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32B6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32B6" w:rsidRPr="00550BC8" w:rsidRDefault="002F32B6" w:rsidP="002F32B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50BC8">
        <w:rPr>
          <w:rFonts w:ascii="Times New Roman" w:hAnsi="Times New Roman"/>
          <w:b/>
          <w:color w:val="000000" w:themeColor="text1"/>
          <w:sz w:val="20"/>
          <w:szCs w:val="20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  <w:bdr w:val="none" w:sz="0" w:space="0" w:color="auto"/>
        </w:rPr>
      </w:pPr>
      <w:r w:rsidRPr="00550BC8">
        <w:rPr>
          <w:color w:val="000000" w:themeColor="text1"/>
          <w:sz w:val="20"/>
          <w:szCs w:val="20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lastRenderedPageBreak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F32B6" w:rsidRPr="00550BC8" w:rsidRDefault="002F32B6" w:rsidP="002F32B6">
      <w:pPr>
        <w:pStyle w:val="ac"/>
        <w:tabs>
          <w:tab w:val="clear" w:pos="720"/>
        </w:tabs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F32B6" w:rsidRDefault="002F32B6" w:rsidP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32B6" w:rsidRDefault="002F32B6" w:rsidP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32B6" w:rsidRDefault="002F32B6" w:rsidP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0711" w:rsidRDefault="002F3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освоения основной образовательной программы</w:t>
      </w:r>
    </w:p>
    <w:tbl>
      <w:tblPr>
        <w:tblStyle w:val="af1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"/>
        <w:gridCol w:w="2195"/>
        <w:gridCol w:w="7111"/>
        <w:gridCol w:w="5578"/>
      </w:tblGrid>
      <w:tr w:rsidR="00660711">
        <w:tc>
          <w:tcPr>
            <w:tcW w:w="2235" w:type="dxa"/>
            <w:gridSpan w:val="2"/>
          </w:tcPr>
          <w:p w:rsidR="00660711" w:rsidRDefault="006607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2"/>
          </w:tcPr>
          <w:p w:rsidR="00660711" w:rsidRDefault="002F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Углубленный 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ровень</w:t>
            </w:r>
          </w:p>
          <w:p w:rsidR="00660711" w:rsidRDefault="002F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660711">
        <w:tc>
          <w:tcPr>
            <w:tcW w:w="2235" w:type="dxa"/>
            <w:gridSpan w:val="2"/>
          </w:tcPr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29" w:type="dxa"/>
          </w:tcPr>
          <w:p w:rsidR="00660711" w:rsidRDefault="002F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II. Выпускник научится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IV. Выпускник получит возможность научиться</w:t>
            </w:r>
          </w:p>
        </w:tc>
      </w:tr>
      <w:tr w:rsidR="00660711">
        <w:tc>
          <w:tcPr>
            <w:tcW w:w="2235" w:type="dxa"/>
            <w:gridSpan w:val="2"/>
          </w:tcPr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7229" w:type="dxa"/>
          </w:tcPr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успешного продолжения образования</w:t>
            </w:r>
          </w:p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660711">
        <w:tc>
          <w:tcPr>
            <w:tcW w:w="15134" w:type="dxa"/>
            <w:gridSpan w:val="4"/>
          </w:tcPr>
          <w:p w:rsidR="00660711" w:rsidRDefault="002F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660711">
        <w:tc>
          <w:tcPr>
            <w:tcW w:w="2235" w:type="dxa"/>
            <w:gridSpan w:val="2"/>
          </w:tcPr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оперировать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понятиями: утверждение, отрицание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находить пересечение и объединение множеств, в том 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сле представленных графически на числовой прямой и на координатной плоскости;</w:t>
            </w:r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числовые множества на координатной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прямой и на координатной плоскости для описания реальных процессов и явлений;</w:t>
            </w:r>
          </w:p>
          <w:p w:rsidR="00660711" w:rsidRDefault="002F32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 понятием определения, осн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овными видами определений, основными видами теорем;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метод математической индукции для проведения рассуждений и доказательств и при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решении задач.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овседневной жизни и при изучении других предметов: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660711">
        <w:tc>
          <w:tcPr>
            <w:tcW w:w="2235" w:type="dxa"/>
            <w:gridSpan w:val="2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переводить числа из одной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записи (системы счисления) в другую;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сравнивать действитель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числа разными способами;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НОД и НОК разными способами и использовать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ешении задач;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записывать, сравнивать, округлять числовые данные реальных величин с использованием разных систе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измерения;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понимать причины 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основные идеи расширения числовых множеств;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 основными понятиями теории делимости при решении стандартных задач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ческих, степенных выражений;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 формулой бинома Ньютона;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выполнять зап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ись числа в позиционной системе счисления;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при решении задач теоретико-числовые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функции: число и сумма делителей, функцию Эйлера;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660711" w:rsidRDefault="002F32B6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при решении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задачмногочлены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 действительными и целыми коэффици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ентами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660711">
        <w:tc>
          <w:tcPr>
            <w:tcW w:w="2235" w:type="dxa"/>
            <w:gridSpan w:val="2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660711" w:rsidRDefault="00660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ыми методами их решений и применять их при решении задач;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метод интервалов для решения неравенств, в 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дробно-рациональных и включающих в себя иррациональные выражения;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разн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ыми методами доказательства неравенств;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повседневной жизни и при изучении других предметов: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истем при решении задач других учебных предметов;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нтерпретировать полученные результаты;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60711" w:rsidRDefault="002F32B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еравенств, иррациональных уравнений и неравенств, тригонометрических уравнений и неравенств, их систем;</w:t>
            </w:r>
          </w:p>
          <w:p w:rsidR="00660711" w:rsidRDefault="002F32B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660711" w:rsidRDefault="002F32B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660711" w:rsidRDefault="002F32B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Буняковского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Бернулли;</w:t>
            </w:r>
          </w:p>
          <w:p w:rsidR="00660711" w:rsidRDefault="002F32B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средними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степенными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7229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возрастание на числовом промежутке, убывание на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понятием степенная функция; строить ее график и уметь прим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енять свойства степенной функции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понятиями показательная функция, экспонента; строить их графики и уметь применять свойства показательной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функции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понятием логарифмическая функция; строить ее график и 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еть применять свойства логарифмической функции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понятием обратная функция; применять это пон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ятие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претировать свойства в контексте конкретной практической ситуации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;.</w:t>
            </w:r>
            <w:proofErr w:type="gramEnd"/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ть понятием асимптоты и уметь его применять при решении задач;</w:t>
            </w:r>
          </w:p>
          <w:p w:rsidR="00660711" w:rsidRDefault="002F32B6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Элементы математического анализа</w:t>
            </w:r>
          </w:p>
        </w:tc>
        <w:tc>
          <w:tcPr>
            <w:tcW w:w="7229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понятием бесконечно убывающая геометрическая прогрессия и уметь применять его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для решения задач теорию пределов;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бесконечно большие и бесконечно малые числовые последовательности и уметь сравнивать 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конечно большие и бесконечно малые последовательности; 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понятиями: производная функции в точке, производная функции;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вычислять производные элементарных функций и 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комбинаций; 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исследовать функции на монотонность и экстремумы;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теорему Ньютона–Лейбни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ца и ее следствия для решения задач.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60711" w:rsidRDefault="002F32B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660711" w:rsidRDefault="002F32B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интерпретировать полу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ченные результаты</w:t>
            </w:r>
          </w:p>
        </w:tc>
        <w:tc>
          <w:tcPr>
            <w:tcW w:w="5670" w:type="dxa"/>
          </w:tcPr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 графиков, в том числе исследования на выпуклость;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оперировать понятием первообразной функции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для решения задач;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660711" w:rsidRDefault="002F32B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 понятиями вторая производная, выпуклость график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 функции и уметь исследовать функцию на выпуклость</w:t>
            </w: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 основах теории вероятностей;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совме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стных распределениях случайных величин;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суть закона больших чисел и выборочного метода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измерения вероятностей;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корреляции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лучайных величин. 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це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нтральной предельной теореме;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владеть основными понятиями  теории графов (граф, вершина, ребро, степень вершины, путь в графе) и уметь применять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их при решении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об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эйлеровом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применять метод математической индукци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и;</w:t>
            </w:r>
          </w:p>
          <w:p w:rsidR="00660711" w:rsidRDefault="002F32B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разные задачи повышенной трудности;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дачи, выбирать решения, не противоречащие контексту;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60711" w:rsidRDefault="002F32B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прак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тические задачи и задачи из других предметов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Достижение результатов раздела II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  <w:shd w:val="clear" w:color="auto" w:fill="auto"/>
          </w:tcPr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лучаях классификацию фигур по различным основаниям;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строить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сечения многогранников с использованием различных методов, в том числе и метода следов;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скрещивающихся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теоремы о параллельности прямых и плоскостей в прост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ранстве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понятиями ортогональное проектирование, наклонные и их проекции, уметь 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теорему о трех перпендикулярах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владеть понятием угол между прямой и плоскостью и уметь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менять его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деть понятием прямоугольный параллелепипед и применять его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о теореме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Эйлера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многогранниках; 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адеть понятием площади поверхностей многогранников и уметь применять его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касательные прямые и плоскости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применять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изпри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о развертке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цилиндра и конуса, площади поверхности цилиндра и конуса,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математические 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5670" w:type="dxa"/>
          </w:tcPr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владеть понятием геометрические места точек в пространстве и уметь примен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ять их для решения задач;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 понятием перпендикулярное сечение призмы и уметь применять его при решении зада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ч; 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двойственности правильных многогранников;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пр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 решении задач формулу расстояния от точки до плоскости;</w:t>
            </w:r>
          </w:p>
          <w:p w:rsidR="00660711" w:rsidRDefault="002F32B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уравнениями и уметь применять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теоремы об отношениях объемов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трии, повороте относительно прямой, винтовой симметрии,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иметь представление о трехгранном и многогранном угле и применять свойства плоских углов многогранного угла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660711" w:rsidRDefault="002F32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D9D9D9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Векторы и координаты в пространстве</w:t>
            </w: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Владеть понятиями векторы и их координаты;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выполнять операции над векторами;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уравнение плоскости, формулу расстояния между точками, уравнени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сферы при решении задач;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Достижение результатов раздела II;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задавать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пространстве;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660711" w:rsidRDefault="002F32B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математики</w:t>
            </w: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Достижение результатов раздела II</w:t>
            </w:r>
          </w:p>
        </w:tc>
      </w:tr>
      <w:tr w:rsidR="00660711">
        <w:tc>
          <w:tcPr>
            <w:tcW w:w="6" w:type="dxa"/>
          </w:tcPr>
          <w:p w:rsidR="00660711" w:rsidRDefault="00660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</w:tcPr>
          <w:p w:rsidR="00660711" w:rsidRDefault="002F32B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7229" w:type="dxa"/>
          </w:tcPr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660711" w:rsidRDefault="002F32B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пользоват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5670" w:type="dxa"/>
          </w:tcPr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Достижение результатов раздела II;</w:t>
            </w:r>
          </w:p>
          <w:p w:rsidR="00660711" w:rsidRDefault="002F32B6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и)</w:t>
            </w:r>
          </w:p>
          <w:p w:rsidR="00660711" w:rsidRDefault="00660711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660711" w:rsidRDefault="00660711">
      <w:pPr>
        <w:spacing w:after="0" w:line="240" w:lineRule="auto"/>
      </w:pPr>
    </w:p>
    <w:p w:rsidR="00660711" w:rsidRDefault="002F32B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2.СОДЕРЖАНИЕ УЧЕБНОГО ПРЕДМЕТА</w:t>
      </w:r>
    </w:p>
    <w:p w:rsidR="00660711" w:rsidRDefault="002F32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УГЛУБЛЕННЫЙ УРОВЕНЬ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Алгебра и начала анализа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Повторение. Решение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 неравенств с одной переменной, с применением изображения числовых промежутков. Решение задач с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660711" w:rsidRPr="00660711">
        <w:rPr>
          <w:rFonts w:ascii="Times New Roman" w:eastAsia="Times New Roman" w:hAnsi="Times New Roman"/>
          <w:color w:val="000000"/>
          <w:sz w:val="40"/>
          <w:szCs w:val="40"/>
          <w:vertAlign w:val="subscript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7pt;height:20.4pt" o:ole="">
            <v:imagedata r:id="rId9" o:title=""/>
          </v:shape>
          <o:OLEObject Type="Embed" ProgID="Equation.DSMT4" ShapeID="_x0000_i1026" DrawAspect="Content" ObjectID="_1678823813" r:id="rId10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Множества (числовые, геометрических фигур). Характеристическое свойство, элемент множества, пустое, конечное, бесконечное множест</w:t>
      </w:r>
      <w:r>
        <w:rPr>
          <w:rFonts w:ascii="Times New Roman" w:eastAsia="Times New Roman" w:hAnsi="Times New Roman"/>
          <w:sz w:val="24"/>
          <w:szCs w:val="24"/>
        </w:rPr>
        <w:t xml:space="preserve">во. Способы задания множеств Подмножество. Отношения принадлежности, включения, равенства. Операции над множествами. Круги Эйлера.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Истинные и ложные высказывания, операции над высказываниями.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Алгебра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высказываний. </w:t>
      </w:r>
      <w:r>
        <w:rPr>
          <w:rFonts w:ascii="Times New Roman" w:eastAsia="Times New Roman" w:hAnsi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Законы логики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Основные логические правила. </w:t>
      </w:r>
      <w:r>
        <w:rPr>
          <w:rFonts w:ascii="Times New Roman" w:eastAsia="Times New Roman" w:hAnsi="Times New Roman"/>
          <w:sz w:val="24"/>
          <w:szCs w:val="24"/>
        </w:rPr>
        <w:t xml:space="preserve">Решение логических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задачс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использованием кругов Эйлера,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основных логических правил.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>
        <w:rPr>
          <w:rFonts w:ascii="Times New Roman" w:eastAsia="Times New Roman" w:hAnsi="Times New Roman"/>
          <w:i/>
          <w:sz w:val="24"/>
          <w:szCs w:val="24"/>
        </w:rPr>
        <w:t>Виды доказательств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>Математическая индукция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Утверждения: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обратное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данному, противоположное, обратное противоположному данному</w:t>
      </w:r>
      <w:r>
        <w:rPr>
          <w:rFonts w:ascii="Times New Roman" w:eastAsia="Times New Roman" w:hAnsi="Times New Roman"/>
          <w:sz w:val="24"/>
          <w:szCs w:val="24"/>
        </w:rPr>
        <w:t>. Признак и свойство, необходи</w:t>
      </w:r>
      <w:r>
        <w:rPr>
          <w:rFonts w:ascii="Times New Roman" w:eastAsia="Times New Roman" w:hAnsi="Times New Roman"/>
          <w:sz w:val="24"/>
          <w:szCs w:val="24"/>
        </w:rPr>
        <w:t>мые и достаточные условия.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q-ичные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Радианная мера угла, </w:t>
      </w:r>
      <w:r>
        <w:rPr>
          <w:rFonts w:ascii="Times New Roman" w:eastAsia="Times New Roman" w:hAnsi="Times New Roman"/>
          <w:sz w:val="24"/>
          <w:szCs w:val="24"/>
        </w:rPr>
        <w:t>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Нули функции, промежутки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Функции «дробная часть числа» </w:t>
      </w:r>
      <w:bookmarkStart w:id="7" w:name="bookmark=id.1fob9te" w:colFirst="0" w:colLast="0"/>
      <w:bookmarkEnd w:id="7"/>
      <w:r w:rsidR="00660711" w:rsidRPr="00660711">
        <w:rPr>
          <w:rFonts w:ascii="Times New Roman" w:eastAsia="Times New Roman" w:hAnsi="Times New Roman"/>
          <w:sz w:val="40"/>
          <w:szCs w:val="40"/>
          <w:vertAlign w:val="subscript"/>
        </w:rPr>
        <w:object w:dxaOrig="760" w:dyaOrig="400">
          <v:shape id="_x0000_i1027" type="#_x0000_t75" style="width:38.7pt;height:22.55pt" o:ole="">
            <v:imagedata r:id="rId11" o:title=""/>
          </v:shape>
          <o:OLEObject Type="Embed" ProgID="Equation.DSMT4" ShapeID="_x0000_i1027" DrawAspect="Content" ObjectID="_1678823814" r:id="rId12"/>
        </w:object>
      </w:r>
      <w:r>
        <w:rPr>
          <w:rFonts w:ascii="Times New Roman" w:eastAsia="Times New Roman" w:hAnsi="Times New Roman"/>
          <w:i/>
          <w:sz w:val="24"/>
          <w:szCs w:val="24"/>
        </w:rPr>
        <w:t xml:space="preserve">  и «целая часть числа» </w:t>
      </w:r>
      <w:r w:rsidR="00660711" w:rsidRPr="00660711">
        <w:rPr>
          <w:rFonts w:ascii="Times New Roman" w:eastAsia="Times New Roman" w:hAnsi="Times New Roman"/>
          <w:sz w:val="40"/>
          <w:szCs w:val="40"/>
          <w:vertAlign w:val="subscript"/>
        </w:rPr>
        <w:object w:dxaOrig="740" w:dyaOrig="400">
          <v:shape id="_x0000_i1028" type="#_x0000_t75" style="width:36.55pt;height:22.55pt" o:ole="">
            <v:imagedata r:id="rId13" o:title=""/>
          </v:shape>
          <o:OLEObject Type="Embed" ProgID="Equation.DSMT4" ShapeID="_x0000_i1028" DrawAspect="Content" ObjectID="_1678823815" r:id="rId14"/>
        </w:obje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Тригонометрические функции числового аргумента </w:t>
      </w:r>
      <w:r w:rsidR="00660711" w:rsidRPr="00660711">
        <w:rPr>
          <w:rFonts w:ascii="Times New Roman" w:eastAsia="Times New Roman" w:hAnsi="Times New Roman"/>
          <w:sz w:val="40"/>
          <w:szCs w:val="40"/>
          <w:vertAlign w:val="subscript"/>
        </w:rPr>
        <w:object w:dxaOrig="919" w:dyaOrig="260">
          <v:shape id="_x0000_i1029" type="#_x0000_t75" style="width:47.3pt;height:12.9pt" o:ole="">
            <v:imagedata r:id="rId15" o:title=""/>
          </v:shape>
          <o:OLEObject Type="Embed" ProgID="Equation.DSMT4" ShapeID="_x0000_i1029" DrawAspect="Content" ObjectID="_1678823816" r:id="rId16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660711" w:rsidRPr="00660711">
        <w:rPr>
          <w:rFonts w:ascii="Times New Roman" w:eastAsia="Times New Roman" w:hAnsi="Times New Roman"/>
          <w:sz w:val="40"/>
          <w:szCs w:val="40"/>
          <w:vertAlign w:val="subscript"/>
        </w:rPr>
        <w:object w:dxaOrig="900" w:dyaOrig="320">
          <v:shape id="_x0000_i1030" type="#_x0000_t75" style="width:47.3pt;height:17.2pt" o:ole="">
            <v:imagedata r:id="rId17" o:title=""/>
          </v:shape>
          <o:OLEObject Type="Embed" ProgID="Equation.DSMT4" ShapeID="_x0000_i1030" DrawAspect="Content" ObjectID="_1678823817" r:id="rId18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660711" w:rsidRPr="00660711">
        <w:rPr>
          <w:rFonts w:ascii="Times New Roman" w:eastAsia="Times New Roman" w:hAnsi="Times New Roman"/>
          <w:sz w:val="40"/>
          <w:szCs w:val="40"/>
          <w:vertAlign w:val="subscript"/>
        </w:rPr>
        <w:object w:dxaOrig="800" w:dyaOrig="300">
          <v:shape id="_x0000_i1031" type="#_x0000_t75" style="width:39.75pt;height:15.05pt" o:ole="">
            <v:imagedata r:id="rId19" o:title=""/>
          </v:shape>
          <o:OLEObject Type="Embed" ProgID="Equation.DSMT4" ShapeID="_x0000_i1031" DrawAspect="Content" ObjectID="_1678823818" r:id="rId2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60711" w:rsidRPr="00660711">
        <w:rPr>
          <w:rFonts w:ascii="Times New Roman" w:eastAsia="Times New Roman" w:hAnsi="Times New Roman"/>
          <w:sz w:val="40"/>
          <w:szCs w:val="40"/>
          <w:vertAlign w:val="subscript"/>
        </w:rPr>
        <w:object w:dxaOrig="900" w:dyaOrig="300">
          <v:shape id="_x0000_i1032" type="#_x0000_t75" style="width:47.3pt;height:15.05pt" o:ole="">
            <v:imagedata r:id="rId21" o:title=""/>
          </v:shape>
          <o:OLEObject Type="Embed" ProgID="Equation.DSMT4" ShapeID="_x0000_i1032" DrawAspect="Content" ObjectID="_1678823819" r:id="rId22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>. Свойства и графики тригонометрических функций.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Степень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="00660711" w:rsidRPr="00660711">
        <w:rPr>
          <w:rFonts w:ascii="Times New Roman" w:eastAsia="Times New Roman" w:hAnsi="Times New Roman"/>
          <w:color w:val="000000"/>
          <w:sz w:val="40"/>
          <w:szCs w:val="40"/>
          <w:vertAlign w:val="subscript"/>
        </w:rPr>
        <w:object w:dxaOrig="180" w:dyaOrig="220">
          <v:shape id="_x0000_i1033" type="#_x0000_t75" style="width:7.5pt;height:12.9pt" o:ole="">
            <v:imagedata r:id="rId23" o:title=""/>
          </v:shape>
          <o:OLEObject Type="Embed" ProgID="Equation.DSMT4" ShapeID="_x0000_i1033" DrawAspect="Content" ObjectID="_1678823820" r:id="rId24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функция </w:t>
      </w:r>
      <w:r w:rsidR="00660711" w:rsidRPr="00660711">
        <w:rPr>
          <w:rFonts w:ascii="Times New Roman" w:eastAsia="Times New Roman" w:hAnsi="Times New Roman"/>
          <w:color w:val="000000"/>
          <w:sz w:val="40"/>
          <w:szCs w:val="40"/>
          <w:vertAlign w:val="subscript"/>
        </w:rPr>
        <w:object w:dxaOrig="640" w:dyaOrig="360">
          <v:shape id="_x0000_i1034" type="#_x0000_t75" style="width:32.25pt;height:17.2pt" o:ole="">
            <v:imagedata r:id="rId25" o:title=""/>
          </v:shape>
          <o:OLEObject Type="Embed" ProgID="Equation.DSMT4" ShapeID="_x0000_i1034" DrawAspect="Content" ObjectID="_1678823821" r:id="rId26"/>
        </w:objec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Степенная функция и ее свойства и график. Иррациональные ура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внения.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Первичные представления о множестве комплексных чисел. </w:t>
      </w:r>
      <w:r>
        <w:rPr>
          <w:rFonts w:ascii="Times New Roman" w:eastAsia="Times New Roman" w:hAnsi="Times New Roman"/>
          <w:i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Метод интервалов 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Системы п</w:t>
      </w:r>
      <w:r>
        <w:rPr>
          <w:rFonts w:ascii="Times New Roman" w:eastAsia="Times New Roman" w:hAnsi="Times New Roman"/>
          <w:sz w:val="24"/>
          <w:szCs w:val="24"/>
        </w:rPr>
        <w:t xml:space="preserve">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Взаимно обратные функции. Графики взаимно обратных функций.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Уравнения, системы уравнений с параметром.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Формула Бинома Ньютона. Ре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целозначные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многочлены.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Диофантовы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уравнения. Цепные дроби. Теорема Фе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рма о сумме квадратов.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рациональными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Множества на координатной плоскости.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Неравенство Коши–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Буняковского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неравенство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Йенсена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неравенства о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средних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Понятие предела функции в точке</w:t>
      </w:r>
      <w:r>
        <w:rPr>
          <w:rFonts w:ascii="Times New Roman" w:eastAsia="Times New Roman" w:hAnsi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>
        <w:rPr>
          <w:rFonts w:ascii="Times New Roman" w:eastAsia="Times New Roman" w:hAnsi="Times New Roman"/>
          <w:sz w:val="24"/>
          <w:szCs w:val="24"/>
        </w:rPr>
        <w:t xml:space="preserve">. Непрерывность функции. </w:t>
      </w:r>
      <w:r>
        <w:rPr>
          <w:rFonts w:ascii="Times New Roman" w:eastAsia="Times New Roman" w:hAnsi="Times New Roman"/>
          <w:i/>
          <w:sz w:val="24"/>
          <w:szCs w:val="24"/>
        </w:rPr>
        <w:t>Свойства непрерывных функций. Теорема Вейерштрасса.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Дифференцируемость функции. Про</w:t>
      </w:r>
      <w:r>
        <w:rPr>
          <w:rFonts w:ascii="Times New Roman" w:eastAsia="Times New Roman" w:hAnsi="Times New Roman"/>
          <w:sz w:val="24"/>
          <w:szCs w:val="24"/>
        </w:rPr>
        <w:t xml:space="preserve">изводная функции в точке. Касательная к графику функции. Геометрический и физический смысл производной. </w:t>
      </w:r>
      <w:r>
        <w:rPr>
          <w:rFonts w:ascii="Times New Roman" w:eastAsia="Times New Roman" w:hAnsi="Times New Roman"/>
          <w:i/>
          <w:sz w:val="24"/>
          <w:szCs w:val="24"/>
        </w:rPr>
        <w:t>Применение производной в физике</w:t>
      </w:r>
      <w:r>
        <w:rPr>
          <w:rFonts w:ascii="Times New Roman" w:eastAsia="Times New Roman" w:hAnsi="Times New Roman"/>
          <w:sz w:val="24"/>
          <w:szCs w:val="24"/>
        </w:rPr>
        <w:t>. Производные элементарных функций. Правила дифференцирования.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Вторая производная, ее геометрический и физический смысл.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>
        <w:rPr>
          <w:rFonts w:ascii="Times New Roman" w:eastAsia="Times New Roman" w:hAnsi="Times New Roman"/>
          <w:i/>
          <w:sz w:val="24"/>
          <w:szCs w:val="24"/>
        </w:rPr>
        <w:t>Построение графиков функций с помощью производных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Применение производной при решении задач. Нахождение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экстремумов функций нескольких переменных.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Первообразная. Неопределенный интеграл.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Первообразные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элементарных функций. Площадь криволинейной трапеции. Формула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Ньютона-Лейбница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пределенный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интеграл. </w:t>
      </w:r>
      <w:r>
        <w:rPr>
          <w:rFonts w:ascii="Times New Roman" w:eastAsia="Times New Roman" w:hAnsi="Times New Roman"/>
          <w:i/>
          <w:sz w:val="24"/>
          <w:szCs w:val="24"/>
        </w:rPr>
        <w:t>Вычисление площадей плоских фигур и объемов тел вращения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 помощью интеграла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.. </w:t>
      </w:r>
      <w:proofErr w:type="gramEnd"/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Методы решения функциональных уравнений и неравенств.</w:t>
      </w:r>
    </w:p>
    <w:p w:rsidR="00660711" w:rsidRDefault="006607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Геометрия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контрпримеров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Применение простейших логических правил. Решение задач с использованием теорем о треугольниках, соотношений в прямоугольных т</w:t>
      </w:r>
      <w:r>
        <w:rPr>
          <w:rFonts w:ascii="Times New Roman" w:eastAsia="Times New Roman" w:hAnsi="Times New Roman"/>
          <w:sz w:val="24"/>
          <w:szCs w:val="24"/>
        </w:rPr>
        <w:t xml:space="preserve">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>
        <w:rPr>
          <w:rFonts w:ascii="Times New Roman" w:eastAsia="Times New Roman" w:hAnsi="Times New Roman"/>
          <w:i/>
          <w:sz w:val="24"/>
          <w:szCs w:val="24"/>
        </w:rPr>
        <w:t>Решение задач с помощью векторов и координат.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Наглядная стереометрия</w:t>
      </w:r>
      <w:r>
        <w:rPr>
          <w:rFonts w:ascii="Times New Roman" w:eastAsia="Times New Roman" w:hAnsi="Times New Roman"/>
          <w:sz w:val="24"/>
          <w:szCs w:val="24"/>
        </w:rPr>
        <w:t>. Призма, параллелепипед, пирамида, тетраэдр.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Понятие об аксиоматическом методе.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Теорема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Менелая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для тетраэдра</w:t>
      </w:r>
      <w:r>
        <w:rPr>
          <w:rFonts w:ascii="Times New Roman" w:eastAsia="Times New Roman" w:hAnsi="Times New Roman"/>
          <w:sz w:val="24"/>
          <w:szCs w:val="24"/>
        </w:rPr>
        <w:t>. Построение сечений многогранников методом следов. Центральн</w:t>
      </w:r>
      <w:r>
        <w:rPr>
          <w:rFonts w:ascii="Times New Roman" w:eastAsia="Times New Roman" w:hAnsi="Times New Roman"/>
          <w:sz w:val="24"/>
          <w:szCs w:val="24"/>
        </w:rPr>
        <w:t xml:space="preserve">ое проектирование. Построение сечений многогранников методом проекций. 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Скрещивающиеся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прямые в пространстве. Угол между ними.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Методы нахождения расстояний между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скрещивающимися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прямыми.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Теоремы о параллельности прямых и плоскостей в пространстве. Паралле</w:t>
      </w:r>
      <w:r>
        <w:rPr>
          <w:rFonts w:ascii="Times New Roman" w:eastAsia="Times New Roman" w:hAnsi="Times New Roman"/>
          <w:sz w:val="24"/>
          <w:szCs w:val="24"/>
        </w:rPr>
        <w:t xml:space="preserve">льное проектирование и изображение фигур. </w:t>
      </w:r>
      <w:r>
        <w:rPr>
          <w:rFonts w:ascii="Times New Roman" w:eastAsia="Times New Roman" w:hAnsi="Times New Roman"/>
          <w:i/>
          <w:sz w:val="24"/>
          <w:szCs w:val="24"/>
        </w:rPr>
        <w:t>Геометрические места точек в пространстве.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Виды тетраэдров.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Ортоцентрический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тетраэдр, кар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касный тетраэдр,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равногранный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бимедианы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тетраэдра.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Достраивание тетраэдра до параллелепипеда.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Углы в пространстве. Перпе</w:t>
      </w:r>
      <w:r>
        <w:rPr>
          <w:rFonts w:ascii="Times New Roman" w:eastAsia="Times New Roman" w:hAnsi="Times New Roman"/>
          <w:sz w:val="24"/>
          <w:szCs w:val="24"/>
        </w:rPr>
        <w:t xml:space="preserve">ндикулярные плоскости. </w:t>
      </w:r>
      <w:r>
        <w:rPr>
          <w:rFonts w:ascii="Times New Roman" w:eastAsia="Times New Roman" w:hAnsi="Times New Roman"/>
          <w:i/>
          <w:sz w:val="24"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</w:t>
      </w:r>
      <w:r>
        <w:rPr>
          <w:rFonts w:ascii="Times New Roman" w:eastAsia="Times New Roman" w:hAnsi="Times New Roman"/>
          <w:i/>
          <w:sz w:val="24"/>
          <w:szCs w:val="24"/>
        </w:rPr>
        <w:t>ранного угла.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Виды многогранников. </w:t>
      </w:r>
      <w:r>
        <w:rPr>
          <w:rFonts w:ascii="Times New Roman" w:eastAsia="Times New Roman" w:hAnsi="Times New Roman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Теорема Эйлера.</w:t>
      </w:r>
      <w:r>
        <w:rPr>
          <w:rFonts w:ascii="Times New Roman" w:eastAsia="Times New Roman" w:hAnsi="Times New Roman"/>
          <w:sz w:val="24"/>
          <w:szCs w:val="24"/>
        </w:rPr>
        <w:t xml:space="preserve"> Правильные многогранники. </w:t>
      </w:r>
      <w:r>
        <w:rPr>
          <w:rFonts w:ascii="Times New Roman" w:eastAsia="Times New Roman" w:hAnsi="Times New Roman"/>
          <w:i/>
          <w:sz w:val="24"/>
          <w:szCs w:val="24"/>
        </w:rPr>
        <w:t>Двойственность правильных многогранников.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Призма. Параллелепипед. Свойства параллелепипеда. Прямоугольный па</w:t>
      </w:r>
      <w:r>
        <w:rPr>
          <w:rFonts w:ascii="Times New Roman" w:eastAsia="Times New Roman" w:hAnsi="Times New Roman"/>
          <w:sz w:val="24"/>
          <w:szCs w:val="24"/>
        </w:rPr>
        <w:t xml:space="preserve">раллелепипед. Наклонные призмы.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равнонаклоненными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ребрами и гранями, их основные свойства. 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Площади поверхностей многогранников.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Усеченная пирамида и усеченный конус.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Элементы сферической геометрии. Конические сечения.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Касательные прямые и плоскости. В</w:t>
      </w:r>
      <w:r>
        <w:rPr>
          <w:rFonts w:ascii="Times New Roman" w:eastAsia="Times New Roman" w:hAnsi="Times New Roman"/>
          <w:sz w:val="24"/>
          <w:szCs w:val="24"/>
        </w:rPr>
        <w:t xml:space="preserve">писанные и описанные сферы.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Касающиеся сферы. Комбинации тел вращения.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Уравнение плоскости. Формула расстояния между точками. Уравнение сферы.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Формула расстояния от точки до плоскости. Способы задания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прямой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уравнениями.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Понятие объема. Объемы многогранников. Объемы тел вращения. </w:t>
      </w:r>
      <w:r>
        <w:rPr>
          <w:rFonts w:ascii="Times New Roman" w:eastAsia="Times New Roman" w:hAnsi="Times New Roman"/>
          <w:i/>
          <w:sz w:val="24"/>
          <w:szCs w:val="24"/>
        </w:rPr>
        <w:t>Аксиомы объема.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сферы.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Развертка цилиндра и конуса.</w:t>
      </w:r>
      <w:r>
        <w:rPr>
          <w:rFonts w:ascii="Times New Roman" w:eastAsia="Times New Roman" w:hAnsi="Times New Roman"/>
          <w:sz w:val="24"/>
          <w:szCs w:val="24"/>
        </w:rPr>
        <w:t xml:space="preserve"> Площадь поверхности цилиндра и конуса.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Комбинации мно</w:t>
      </w:r>
      <w:r>
        <w:rPr>
          <w:rFonts w:ascii="Times New Roman" w:eastAsia="Times New Roman" w:hAnsi="Times New Roman"/>
          <w:sz w:val="24"/>
          <w:szCs w:val="24"/>
        </w:rPr>
        <w:t>гогранников и тел вращения.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Преобразовани</w:t>
      </w:r>
      <w:r>
        <w:rPr>
          <w:rFonts w:ascii="Times New Roman" w:eastAsia="Times New Roman" w:hAnsi="Times New Roman"/>
          <w:i/>
          <w:sz w:val="24"/>
          <w:szCs w:val="24"/>
        </w:rPr>
        <w:t>е подобия, гомотетия. Решение задач на плоскости с использованием стереометрических методов.</w:t>
      </w:r>
    </w:p>
    <w:p w:rsidR="00660711" w:rsidRDefault="006607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</w:t>
      </w:r>
      <w:r>
        <w:rPr>
          <w:rFonts w:ascii="Times New Roman" w:eastAsia="Times New Roman" w:hAnsi="Times New Roman"/>
          <w:sz w:val="24"/>
          <w:szCs w:val="24"/>
        </w:rPr>
        <w:t>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</w:t>
      </w:r>
      <w:r>
        <w:rPr>
          <w:rFonts w:ascii="Times New Roman" w:eastAsia="Times New Roman" w:hAnsi="Times New Roman"/>
          <w:sz w:val="24"/>
          <w:szCs w:val="24"/>
        </w:rPr>
        <w:t xml:space="preserve">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Условная вероятность. Пра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вило умножения вероятностей. Формула полной вероятности. Формула Байеса.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Дискретные случайные величины и распределения. </w:t>
      </w:r>
      <w:r>
        <w:rPr>
          <w:rFonts w:ascii="Times New Roman" w:eastAsia="Times New Roman" w:hAnsi="Times New Roman"/>
          <w:sz w:val="24"/>
          <w:szCs w:val="24"/>
        </w:rPr>
        <w:t xml:space="preserve">Совместные распределения.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Распределение суммы и произведения независимых случайных величин. Математическое ожидание и дисперсия случайно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величины. Математическое ожидание и дисперсия суммы случайных величин.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Бинарная случайная величина, распределение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Бернулли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еометрическое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распределение. Биномиальное распределение и его свойства.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Гипергеометрическое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распределениеи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его свойства.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Непрерыв</w:t>
      </w:r>
      <w:r>
        <w:rPr>
          <w:rFonts w:ascii="Times New Roman" w:eastAsia="Times New Roman" w:hAnsi="Times New Roman"/>
          <w:sz w:val="24"/>
          <w:szCs w:val="24"/>
        </w:rPr>
        <w:t xml:space="preserve">ные случайные величины. Плотность вероятности. Функция распределения. Равномерное распределение.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Распределение Пуассона и его применение</w:t>
      </w:r>
      <w:r>
        <w:rPr>
          <w:rFonts w:ascii="Times New Roman" w:eastAsia="Times New Roman" w:hAnsi="Times New Roman"/>
          <w:sz w:val="24"/>
          <w:szCs w:val="24"/>
        </w:rPr>
        <w:t>. Нормальное распределение. Функция Лапласа. Параметры нормального распред</w:t>
      </w:r>
      <w:r>
        <w:rPr>
          <w:rFonts w:ascii="Times New Roman" w:eastAsia="Times New Roman" w:hAnsi="Times New Roman"/>
          <w:sz w:val="24"/>
          <w:szCs w:val="24"/>
        </w:rPr>
        <w:t xml:space="preserve">еления. Примеры случайных величин, подчиненных нормальному закону (погрешность измерений, рост человека). </w:t>
      </w:r>
      <w:r>
        <w:rPr>
          <w:rFonts w:ascii="Times New Roman" w:eastAsia="Times New Roman" w:hAnsi="Times New Roman"/>
          <w:i/>
          <w:sz w:val="24"/>
          <w:szCs w:val="24"/>
        </w:rPr>
        <w:t>Центральная предельная теорема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</w:t>
      </w:r>
      <w:r>
        <w:rPr>
          <w:rFonts w:ascii="Times New Roman" w:eastAsia="Times New Roman" w:hAnsi="Times New Roman"/>
          <w:i/>
          <w:sz w:val="24"/>
          <w:szCs w:val="24"/>
        </w:rPr>
        <w:t>ей. Роль закона больших чисел в науке, природе и обществе.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Ковариация двух случайных величин. Понятие о коэффициенте корреляции.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Совместные наблюдения двух случайных величин.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Выборочный коэффициент корреляции.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Линейная регрессия.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Построение соответствий. Инъективные 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сюръективные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соответствия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. Биекции. Дискретная непрерывность. Принцип Дирихле.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Кодирование. Двоичная запись. 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Эйлеровы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Гамильтоновы пути. </w:t>
      </w:r>
    </w:p>
    <w:p w:rsidR="00660711" w:rsidRDefault="00660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60711" w:rsidRDefault="002F32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</w:p>
    <w:p w:rsidR="00660711" w:rsidRDefault="002F32B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3. ТЕМАТИЧЕСКОЕ ПЛАНИРОВАНИЕ</w:t>
      </w:r>
    </w:p>
    <w:p w:rsidR="00660711" w:rsidRDefault="002F32B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</w:rPr>
        <w:t>указанием количества часов, отводимых на освоение каждой темы.</w:t>
      </w:r>
    </w:p>
    <w:p w:rsidR="00660711" w:rsidRDefault="002F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изучения предмета «Математика» отведено на углубленном уровне 6 учебных часов в неделю в неделю в 10-11 классах. Поэтому на изучение алгебры и начал математического анализа отводится не мен</w:t>
      </w:r>
      <w:r>
        <w:rPr>
          <w:rFonts w:ascii="Times New Roman" w:eastAsia="Times New Roman" w:hAnsi="Times New Roman"/>
          <w:sz w:val="24"/>
          <w:szCs w:val="24"/>
        </w:rPr>
        <w:t xml:space="preserve">ее 4 учебных часа в неделю в течение каждого года обучения и 2 ч. на изучение геометрии. </w:t>
      </w:r>
    </w:p>
    <w:p w:rsidR="00660711" w:rsidRDefault="0066071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f2"/>
        <w:tblW w:w="14983" w:type="dxa"/>
        <w:tblInd w:w="93" w:type="dxa"/>
        <w:tblLayout w:type="fixed"/>
        <w:tblLook w:val="0400"/>
      </w:tblPr>
      <w:tblGrid>
        <w:gridCol w:w="4033"/>
        <w:gridCol w:w="9590"/>
        <w:gridCol w:w="1360"/>
      </w:tblGrid>
      <w:tr w:rsidR="00660711">
        <w:trPr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Раздел</w:t>
            </w:r>
          </w:p>
        </w:tc>
        <w:tc>
          <w:tcPr>
            <w:tcW w:w="9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Кол-во часов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Действительные числа (18ч.)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Целые и рациональные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Целые и рациональные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Действительные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Действительные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Действительные числа"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Степенная функция (18ч.)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 по теме "Степенная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Показательная функция. (12ч.)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"Показательная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Логарифмическая функция (19ч.)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логарифмов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логарифмов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"Логарифмическая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Тригонометрические формулы (27ч.)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Радианная мера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Знаки синуса, косинуса и тангенса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Синус, косинус и тангенс углов α и -α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Формулы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Формулы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Формулы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Синус, косинус, тангенс двойного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Синус, косинус, тангенс двойного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Синус, косинус, тангенс половинного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Синус, косинус, тангенс половинного угла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Формулы приведения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Формулы приведения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Формулы приведения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и разность синусов, сумма и разность косинусов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и разность синусов, сумма и разность косинусов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и разность синусов, сумма и разность косинусов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"Тригонометрические формулы"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Тригонометрические уравнения (18ч.)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cosx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cosx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cosx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tgx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tgx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Примеры решения простейших тригонометрических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Примеры решения простейших тригонометрических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"Тригонометрические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 сведения из планиметрии (12ч.)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и отрезки, связанные с окружностью,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и отрезки, связанные с окружностью,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и отрезки, связанные с окружностью,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и отрезки, связанные с окружностью,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треугольников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треугольников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треугольников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Теорема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Минелая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Чевы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Теорема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Минелая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Чевы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Эллипс, гипербола и парабола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Эллипс, гипербола и парабола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Введение (3ч.)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 стереометрия. Аксиомы стереометрии.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Параллельность прямых и плоскостей (16ч.)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Параллельные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прямые в пространстве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Параллельность трех плоскостей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Скрещивающиеся прямые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Углы 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сонапрвавленными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сторонами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Угол между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Угол между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Параллельные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Тетраэдр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Параллелепипед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"Параллельность прямых и плоскостей"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Перпендикулярность прямых и плоскостей (17ч.)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Перпендикулярные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прямые в пространстве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Теорема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Теорема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Двугранный угол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Трехгранный угол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Многогранный угол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"Перпендикулярность прямых и плоскостей"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Многогранники (14ч.)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многогранника. Геометрическое тело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Теорема Эйлера. Пространственная теорема Пифагора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Пирамида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Правильная пирамида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Правильная пирамида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Усеченная пирамида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Усеченная пирамида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"Многогранники"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Итоговое повторение (30ч.)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"Действительные числа"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"Действительные числа"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</w:t>
            </w:r>
            <w:r>
              <w:rPr>
                <w:rFonts w:ascii="Arial" w:eastAsia="Arial" w:hAnsi="Arial" w:cs="Arial"/>
                <w:sz w:val="20"/>
                <w:szCs w:val="20"/>
              </w:rPr>
              <w:t>Степенная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"Степенная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"Степенная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"Показательная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"Показательная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"Показательная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"Логарифмическая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"Логарифмическая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"Логарифмическая функция"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"Тригонометрические формулы и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</w:t>
            </w:r>
            <w:r>
              <w:rPr>
                <w:rFonts w:ascii="Arial" w:eastAsia="Arial" w:hAnsi="Arial" w:cs="Arial"/>
                <w:sz w:val="20"/>
                <w:szCs w:val="20"/>
              </w:rPr>
              <w:t>Тригонометрические формулы и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"Тригонометрические формулы и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"Тригонометрические формулы и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"Тригонометрические формулы и уравнения"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теме "Тригонометрические формулы и уравнения"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660711">
        <w:trPr>
          <w:trHeight w:val="2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6607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6607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</w:tr>
    </w:tbl>
    <w:p w:rsidR="00660711" w:rsidRDefault="002F32B6">
      <w:pPr>
        <w:spacing w:after="0" w:line="240" w:lineRule="auto"/>
        <w:jc w:val="center"/>
        <w:rPr>
          <w:b/>
        </w:rPr>
      </w:pPr>
      <w:r>
        <w:rPr>
          <w:b/>
        </w:rPr>
        <w:t>11 класс</w:t>
      </w:r>
    </w:p>
    <w:tbl>
      <w:tblPr>
        <w:tblStyle w:val="af3"/>
        <w:tblW w:w="14983" w:type="dxa"/>
        <w:tblInd w:w="93" w:type="dxa"/>
        <w:tblLayout w:type="fixed"/>
        <w:tblLook w:val="0400"/>
      </w:tblPr>
      <w:tblGrid>
        <w:gridCol w:w="3984"/>
        <w:gridCol w:w="9639"/>
        <w:gridCol w:w="1360"/>
      </w:tblGrid>
      <w:tr w:rsidR="00660711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Раздел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Кол-во часов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Тригонометрические функции (20ч.)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Свойство функции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y=cos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Свойство функции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y=sin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Свойство функции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y=tg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heading=h.3znysh7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“Тригонометрические функции”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Производная и применение к исследованию функций (38ч.)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Производная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Экстремумы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Выпуклость графика функции, точки перегиба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онтрольная работа по теме "Применение производной к исследованию функций"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Интеграл (17ч.)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Первообразная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Правила нахождения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Вычисление интегралов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 производной и интегралов к решению практических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"Интеграл"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Комбинаторика (12ч.)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Правило произведения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Сочетания и их свойства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Бином Ньютона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Проверочная работа по теме "Комбинаторика"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Элементы теории вероятностей (13ч.)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События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Комбинация событий. Противоположное событие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Вероятность события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Сложение вероятностей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Независимые события. Умножение вероятностей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Самостоятельная работа "Элементы теории вероятностей"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Статистика (9ч.)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Случайные величины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Центральные тенденции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разброса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Самостоятельная работа по теме "Статистика"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Векторы в пространстве (6ч.)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Сложение и вычитание векторов. Сумма нескольких векторов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Компланарные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векторы.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Правило параллелепипеда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Разложение вектора по трем некомпланарным векторам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Метод координат в пространстве. Движения (15ч.)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Уравнение сферы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Угол между векторами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Уравнение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Уравнение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Центральная и осевая симметрии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Зеркальная симметрия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Параллельный перенос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Преобразование подобия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"Метод координат в пространстве. Движения"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Цилиндр, конус, шар (16ч.)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цилиндра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конуса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Усеченный конус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Сфера и шар. Площадь сферы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Сфера, вписанная в цилиндрическую поверхность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Сфера, вписанная в коническую поверхность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Сечения цилиндрической поверхности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Сечения конической поверхности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Проверочная работа по теме "Цилиндр, конус и шар"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Объемы тел (17ч.)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объема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прямой призмы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цилиндра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Вычисление объемов тел с помощью интеграла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наклонной призмы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пирамиды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конуса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шара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 шарового сегмента, шарового слоя и шарового сектора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по теме "Объемы тел"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Итоговое повторение (35ч.)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 экзаменационного типа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Повторение. Решение заданий экзаменационного типа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Повторение по геометрии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60711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6607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6607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711" w:rsidRDefault="002F32B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</w:t>
            </w:r>
          </w:p>
        </w:tc>
      </w:tr>
    </w:tbl>
    <w:p w:rsidR="00660711" w:rsidRDefault="00660711">
      <w:pPr>
        <w:spacing w:after="0" w:line="240" w:lineRule="auto"/>
      </w:pPr>
    </w:p>
    <w:sectPr w:rsidR="00660711" w:rsidSect="00660711">
      <w:pgSz w:w="16838" w:h="11906" w:orient="landscape"/>
      <w:pgMar w:top="568" w:right="1134" w:bottom="1135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11" w:rsidRDefault="00660711" w:rsidP="00660711">
      <w:pPr>
        <w:spacing w:after="0" w:line="240" w:lineRule="auto"/>
      </w:pPr>
      <w:r>
        <w:separator/>
      </w:r>
    </w:p>
  </w:endnote>
  <w:endnote w:type="continuationSeparator" w:id="1">
    <w:p w:rsidR="00660711" w:rsidRDefault="00660711" w:rsidP="0066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11" w:rsidRDefault="00660711" w:rsidP="00660711">
      <w:pPr>
        <w:spacing w:after="0" w:line="240" w:lineRule="auto"/>
      </w:pPr>
      <w:r>
        <w:separator/>
      </w:r>
    </w:p>
  </w:footnote>
  <w:footnote w:type="continuationSeparator" w:id="1">
    <w:p w:rsidR="00660711" w:rsidRDefault="00660711" w:rsidP="00660711">
      <w:pPr>
        <w:spacing w:after="0" w:line="240" w:lineRule="auto"/>
      </w:pPr>
      <w:r>
        <w:continuationSeparator/>
      </w:r>
    </w:p>
  </w:footnote>
  <w:footnote w:id="2">
    <w:p w:rsidR="00660711" w:rsidRDefault="002F3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Здесь и далее: знать определение понятия, знать и уметь обосновывать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</w:t>
      </w:r>
      <w:r>
        <w:rPr>
          <w:rFonts w:cs="Calibri"/>
          <w:color w:val="000000"/>
          <w:sz w:val="20"/>
          <w:szCs w:val="20"/>
        </w:rPr>
        <w:t>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AD4"/>
    <w:multiLevelType w:val="multilevel"/>
    <w:tmpl w:val="87A679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7F5329"/>
    <w:multiLevelType w:val="multilevel"/>
    <w:tmpl w:val="05E0D6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510DF"/>
    <w:multiLevelType w:val="multilevel"/>
    <w:tmpl w:val="EC1A4F9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864CDB"/>
    <w:multiLevelType w:val="multilevel"/>
    <w:tmpl w:val="6E9A86C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740" w:hanging="10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025"/>
    <w:multiLevelType w:val="multilevel"/>
    <w:tmpl w:val="E648E01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B752BF"/>
    <w:multiLevelType w:val="multilevel"/>
    <w:tmpl w:val="829E79C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8A6470"/>
    <w:multiLevelType w:val="multilevel"/>
    <w:tmpl w:val="D57A326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0C84E69"/>
    <w:multiLevelType w:val="multilevel"/>
    <w:tmpl w:val="CE12304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15F6E74"/>
    <w:multiLevelType w:val="multilevel"/>
    <w:tmpl w:val="2DE4054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00CFA"/>
    <w:multiLevelType w:val="multilevel"/>
    <w:tmpl w:val="1ACC7E0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53E13"/>
    <w:multiLevelType w:val="hybridMultilevel"/>
    <w:tmpl w:val="FB929CE8"/>
    <w:lvl w:ilvl="0" w:tplc="81AC0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52BD"/>
    <w:multiLevelType w:val="hybridMultilevel"/>
    <w:tmpl w:val="DC56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C2BB2"/>
    <w:multiLevelType w:val="multilevel"/>
    <w:tmpl w:val="1B862F8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B2D359B"/>
    <w:multiLevelType w:val="multilevel"/>
    <w:tmpl w:val="629671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0D00EB5"/>
    <w:multiLevelType w:val="multilevel"/>
    <w:tmpl w:val="DEA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48945F8"/>
    <w:multiLevelType w:val="multilevel"/>
    <w:tmpl w:val="FFAC0B0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D681A44"/>
    <w:multiLevelType w:val="hybridMultilevel"/>
    <w:tmpl w:val="B3E88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7E1"/>
    <w:multiLevelType w:val="multilevel"/>
    <w:tmpl w:val="ECB21D9A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CBF"/>
    <w:multiLevelType w:val="multilevel"/>
    <w:tmpl w:val="1736D3B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7"/>
  </w:num>
  <w:num w:numId="5">
    <w:abstractNumId w:val="3"/>
  </w:num>
  <w:num w:numId="6">
    <w:abstractNumId w:val="22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20"/>
  </w:num>
  <w:num w:numId="15">
    <w:abstractNumId w:val="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4"/>
  </w:num>
  <w:num w:numId="21">
    <w:abstractNumId w:val="13"/>
  </w:num>
  <w:num w:numId="22">
    <w:abstractNumId w:val="19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11"/>
    <w:rsid w:val="002F32B6"/>
    <w:rsid w:val="0066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6C"/>
    <w:rPr>
      <w:rFonts w:cs="Times New Roman"/>
    </w:rPr>
  </w:style>
  <w:style w:type="paragraph" w:styleId="1">
    <w:name w:val="heading 1"/>
    <w:basedOn w:val="normal"/>
    <w:next w:val="normal"/>
    <w:rsid w:val="00660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60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60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60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607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607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0711"/>
  </w:style>
  <w:style w:type="table" w:customStyle="1" w:styleId="TableNormal">
    <w:name w:val="Table Normal"/>
    <w:rsid w:val="00660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607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8256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566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rsid w:val="0082566C"/>
    <w:rPr>
      <w:rFonts w:cs="Times New Roman"/>
      <w:vertAlign w:val="superscript"/>
    </w:rPr>
  </w:style>
  <w:style w:type="paragraph" w:customStyle="1" w:styleId="a7">
    <w:name w:val="Перечисление"/>
    <w:uiPriority w:val="99"/>
    <w:qFormat/>
    <w:rsid w:val="0082566C"/>
    <w:pPr>
      <w:tabs>
        <w:tab w:val="num" w:pos="360"/>
      </w:tabs>
      <w:spacing w:after="60"/>
      <w:jc w:val="both"/>
    </w:pPr>
    <w:rPr>
      <w:rFonts w:ascii="Times New Roman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825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List Paragraph"/>
    <w:basedOn w:val="a"/>
    <w:link w:val="a9"/>
    <w:uiPriority w:val="99"/>
    <w:qFormat/>
    <w:rsid w:val="009F07D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12BC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2BCF"/>
    <w:rPr>
      <w:color w:val="800080"/>
      <w:u w:val="single"/>
    </w:rPr>
  </w:style>
  <w:style w:type="paragraph" w:customStyle="1" w:styleId="xl63">
    <w:name w:val="xl63"/>
    <w:basedOn w:val="a"/>
    <w:rsid w:val="00212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212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Перечень"/>
    <w:basedOn w:val="a"/>
    <w:next w:val="a"/>
    <w:link w:val="ad"/>
    <w:qFormat/>
    <w:rsid w:val="00EB445E"/>
    <w:pPr>
      <w:tabs>
        <w:tab w:val="num" w:pos="720"/>
      </w:tabs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d">
    <w:name w:val="Перечень Знак"/>
    <w:link w:val="ac"/>
    <w:rsid w:val="00EB445E"/>
    <w:rPr>
      <w:rFonts w:ascii="Times New Roman" w:hAnsi="Times New Roman" w:cs="Times New Roman"/>
      <w:sz w:val="28"/>
      <w:u w:color="000000"/>
      <w:bdr w:val="nil"/>
    </w:rPr>
  </w:style>
  <w:style w:type="paragraph" w:customStyle="1" w:styleId="ae">
    <w:name w:val="Перечень номер"/>
    <w:basedOn w:val="a"/>
    <w:next w:val="a"/>
    <w:qFormat/>
    <w:rsid w:val="00EB445E"/>
    <w:pPr>
      <w:tabs>
        <w:tab w:val="num" w:pos="0"/>
        <w:tab w:val="num" w:pos="720"/>
      </w:tabs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f">
    <w:name w:val="Subtitle"/>
    <w:basedOn w:val="normal"/>
    <w:next w:val="normal"/>
    <w:rsid w:val="00660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660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60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60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607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4">
    <w:name w:val="Table Grid"/>
    <w:basedOn w:val="a1"/>
    <w:uiPriority w:val="39"/>
    <w:rsid w:val="002F32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2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5">
    <w:name w:val="caption"/>
    <w:basedOn w:val="a"/>
    <w:next w:val="a"/>
    <w:uiPriority w:val="99"/>
    <w:qFormat/>
    <w:rsid w:val="002F32B6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  <w:sz w:val="24"/>
      <w:szCs w:val="24"/>
      <w:lang w:eastAsia="zh-CN"/>
    </w:rPr>
  </w:style>
  <w:style w:type="character" w:customStyle="1" w:styleId="a9">
    <w:name w:val="Абзац списка Знак"/>
    <w:link w:val="a8"/>
    <w:uiPriority w:val="99"/>
    <w:locked/>
    <w:rsid w:val="002F3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NFGotDMA8DK+qs3CsSzqREY+g==">AMUW2mXPU8jCP1Xo0raoTt2rOlEVvrNLCWesK/9qLgLhbP69QkFaLJQ98M2av3VkK3sXAm5uk3If/DiTWgJ0yCqGoJtvs4O/6h+kCz4ikE4xpq3sRpIBxCc3hslJvDrnjWKb2NJaw7tdfjY7Mxuyge/P+ogdJBlOBGZZL5tjQpCb798JEwLYoaM=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9164</Words>
  <Characters>52241</Characters>
  <Application>Microsoft Office Word</Application>
  <DocSecurity>4</DocSecurity>
  <Lines>435</Lines>
  <Paragraphs>122</Paragraphs>
  <ScaleCrop>false</ScaleCrop>
  <Company/>
  <LinksUpToDate>false</LinksUpToDate>
  <CharactersWithSpaces>61283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2</cp:revision>
  <dcterms:created xsi:type="dcterms:W3CDTF">2021-04-01T18:10:00Z</dcterms:created>
  <dcterms:modified xsi:type="dcterms:W3CDTF">2021-04-01T18:10:00Z</dcterms:modified>
</cp:coreProperties>
</file>